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1FE" w:rsidRPr="000871FE" w:rsidRDefault="000871FE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BA"/>
        </w:rPr>
      </w:pPr>
    </w:p>
    <w:p w:rsidR="000871FE" w:rsidRPr="000871FE" w:rsidRDefault="000871FE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BA"/>
        </w:rPr>
      </w:pPr>
    </w:p>
    <w:p w:rsidR="000871FE" w:rsidRPr="000871FE" w:rsidRDefault="000871FE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BA"/>
        </w:rPr>
      </w:pPr>
      <w:r w:rsidRPr="000871FE">
        <w:rPr>
          <w:rFonts w:ascii="Times New Roman" w:eastAsia="Calibri" w:hAnsi="Times New Roman" w:cs="Times New Roman"/>
          <w:b/>
          <w:sz w:val="28"/>
          <w:szCs w:val="28"/>
          <w:lang w:val="hr-BA"/>
        </w:rPr>
        <w:t xml:space="preserve">ŽUPANIJA </w:t>
      </w:r>
      <w:r w:rsidR="00ED710B">
        <w:rPr>
          <w:rFonts w:ascii="Times New Roman" w:eastAsia="Calibri" w:hAnsi="Times New Roman" w:cs="Times New Roman"/>
          <w:b/>
          <w:sz w:val="28"/>
          <w:szCs w:val="28"/>
          <w:lang w:val="hr-BA"/>
        </w:rPr>
        <w:t>ZAGREBAČKA</w:t>
      </w:r>
    </w:p>
    <w:p w:rsidR="00F320A3" w:rsidRDefault="00F320A3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BA"/>
        </w:rPr>
      </w:pPr>
    </w:p>
    <w:p w:rsidR="000871FE" w:rsidRPr="000871FE" w:rsidRDefault="000871FE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BA"/>
        </w:rPr>
      </w:pPr>
      <w:r w:rsidRPr="000871FE">
        <w:rPr>
          <w:rFonts w:ascii="Times New Roman" w:eastAsia="Calibri" w:hAnsi="Times New Roman" w:cs="Times New Roman"/>
          <w:b/>
          <w:sz w:val="28"/>
          <w:szCs w:val="28"/>
          <w:lang w:val="hr-BA"/>
        </w:rPr>
        <w:t xml:space="preserve">PROGRAM RASPOLAGANJA POLJOPRIVREDNIM ZEMLJIŠTEM U VLASNIŠTVU REPUBLIKE HRVATSKE </w:t>
      </w:r>
    </w:p>
    <w:p w:rsidR="00F320A3" w:rsidRDefault="00F320A3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BA"/>
        </w:rPr>
      </w:pPr>
    </w:p>
    <w:p w:rsidR="000871FE" w:rsidRPr="000871FE" w:rsidRDefault="000871FE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HR"/>
        </w:rPr>
      </w:pPr>
      <w:r w:rsidRPr="000871FE">
        <w:rPr>
          <w:rFonts w:ascii="Times New Roman" w:eastAsia="Calibri" w:hAnsi="Times New Roman" w:cs="Times New Roman"/>
          <w:b/>
          <w:sz w:val="28"/>
          <w:szCs w:val="28"/>
          <w:lang w:val="hr-BA"/>
        </w:rPr>
        <w:t xml:space="preserve">ZA OPĆINU </w:t>
      </w:r>
      <w:r w:rsidR="00ED710B">
        <w:rPr>
          <w:rFonts w:ascii="Times New Roman" w:eastAsia="Calibri" w:hAnsi="Times New Roman" w:cs="Times New Roman"/>
          <w:b/>
          <w:sz w:val="28"/>
          <w:szCs w:val="28"/>
          <w:lang w:val="hr-BA"/>
        </w:rPr>
        <w:t>KLOŠTAR IVANIĆ</w:t>
      </w:r>
    </w:p>
    <w:p w:rsidR="000871FE" w:rsidRPr="000871FE" w:rsidRDefault="000871FE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HR"/>
        </w:rPr>
      </w:pPr>
    </w:p>
    <w:p w:rsidR="000871FE" w:rsidRDefault="000871FE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HR"/>
        </w:rPr>
      </w:pPr>
    </w:p>
    <w:p w:rsidR="00F320A3" w:rsidRDefault="00F320A3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HR"/>
        </w:rPr>
      </w:pPr>
    </w:p>
    <w:p w:rsidR="00F320A3" w:rsidRDefault="00F320A3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HR"/>
        </w:rPr>
      </w:pPr>
    </w:p>
    <w:p w:rsidR="00F320A3" w:rsidRDefault="00F320A3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HR"/>
        </w:rPr>
      </w:pPr>
    </w:p>
    <w:p w:rsidR="00F320A3" w:rsidRDefault="00F320A3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HR"/>
        </w:rPr>
      </w:pPr>
    </w:p>
    <w:p w:rsidR="00F320A3" w:rsidRDefault="00F320A3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HR"/>
        </w:rPr>
      </w:pPr>
    </w:p>
    <w:p w:rsidR="00F320A3" w:rsidRDefault="00F320A3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HR"/>
        </w:rPr>
      </w:pPr>
    </w:p>
    <w:p w:rsidR="00F320A3" w:rsidRPr="000871FE" w:rsidRDefault="00C05836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HR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hr-HR"/>
        </w:rPr>
        <w:t>15</w:t>
      </w:r>
      <w:r w:rsidR="00F320A3">
        <w:rPr>
          <w:rFonts w:ascii="Times New Roman" w:eastAsia="Calibri" w:hAnsi="Times New Roman" w:cs="Times New Roman"/>
          <w:b/>
          <w:sz w:val="28"/>
          <w:szCs w:val="28"/>
          <w:lang w:val="hr-HR"/>
        </w:rPr>
        <w:t>. svibnja 2018.</w:t>
      </w:r>
    </w:p>
    <w:p w:rsidR="000871FE" w:rsidRPr="000871FE" w:rsidRDefault="000871FE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HR"/>
        </w:rPr>
      </w:pPr>
    </w:p>
    <w:p w:rsidR="000871FE" w:rsidRDefault="000871FE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HR"/>
        </w:rPr>
      </w:pPr>
    </w:p>
    <w:p w:rsidR="00F320A3" w:rsidRDefault="00F320A3" w:rsidP="000871FE">
      <w:pPr>
        <w:spacing w:after="200"/>
        <w:jc w:val="center"/>
        <w:rPr>
          <w:rFonts w:ascii="Times New Roman" w:eastAsia="Calibri" w:hAnsi="Times New Roman" w:cs="Times New Roman"/>
          <w:b/>
          <w:sz w:val="28"/>
          <w:szCs w:val="28"/>
          <w:lang w:val="hr-HR"/>
        </w:rPr>
      </w:pPr>
    </w:p>
    <w:p w:rsidR="000871FE" w:rsidRPr="00F320A3" w:rsidRDefault="000871FE" w:rsidP="00F320A3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F320A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Na području </w:t>
      </w:r>
      <w:r w:rsidR="00C05836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općine </w:t>
      </w:r>
      <w:r w:rsidR="00F320A3">
        <w:rPr>
          <w:rFonts w:ascii="Times New Roman" w:eastAsia="Calibri" w:hAnsi="Times New Roman" w:cs="Times New Roman"/>
          <w:sz w:val="24"/>
          <w:szCs w:val="24"/>
          <w:lang w:val="hr-HR"/>
        </w:rPr>
        <w:t>KLOŠTAR IVANIĆ</w:t>
      </w:r>
      <w:r w:rsidR="00F9095C" w:rsidRPr="00F320A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Pr="00F320A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ukupno je </w:t>
      </w:r>
      <w:r w:rsidR="006719BE">
        <w:rPr>
          <w:rFonts w:ascii="Times New Roman" w:eastAsia="Calibri" w:hAnsi="Times New Roman" w:cs="Times New Roman"/>
          <w:b/>
          <w:sz w:val="24"/>
          <w:szCs w:val="24"/>
          <w:lang w:val="hr-HR"/>
        </w:rPr>
        <w:t>6</w:t>
      </w:r>
      <w:r w:rsidR="00E114F0">
        <w:rPr>
          <w:rFonts w:ascii="Times New Roman" w:eastAsia="Calibri" w:hAnsi="Times New Roman" w:cs="Times New Roman"/>
          <w:b/>
          <w:sz w:val="24"/>
          <w:szCs w:val="24"/>
          <w:lang w:val="hr-HR"/>
        </w:rPr>
        <w:t>38</w:t>
      </w:r>
      <w:r w:rsidR="00ED710B" w:rsidRPr="00F320A3">
        <w:rPr>
          <w:rFonts w:ascii="Times New Roman" w:eastAsia="Calibri" w:hAnsi="Times New Roman" w:cs="Times New Roman"/>
          <w:b/>
          <w:sz w:val="24"/>
          <w:szCs w:val="24"/>
          <w:lang w:val="hr-HR"/>
        </w:rPr>
        <w:t>,</w:t>
      </w:r>
      <w:r w:rsidR="00E114F0">
        <w:rPr>
          <w:rFonts w:ascii="Times New Roman" w:eastAsia="Calibri" w:hAnsi="Times New Roman" w:cs="Times New Roman"/>
          <w:b/>
          <w:sz w:val="24"/>
          <w:szCs w:val="24"/>
          <w:lang w:val="hr-HR"/>
        </w:rPr>
        <w:t>4587</w:t>
      </w:r>
      <w:r w:rsidR="00ED710B" w:rsidRPr="00F320A3">
        <w:rPr>
          <w:rFonts w:ascii="Times New Roman" w:eastAsia="Calibri" w:hAnsi="Times New Roman" w:cs="Times New Roman"/>
          <w:b/>
          <w:sz w:val="24"/>
          <w:szCs w:val="24"/>
          <w:lang w:val="hr-HR"/>
        </w:rPr>
        <w:t xml:space="preserve"> </w:t>
      </w:r>
      <w:r w:rsidRPr="00F320A3">
        <w:rPr>
          <w:rFonts w:ascii="Times New Roman" w:eastAsia="Calibri" w:hAnsi="Times New Roman" w:cs="Times New Roman"/>
          <w:b/>
          <w:sz w:val="24"/>
          <w:szCs w:val="24"/>
          <w:lang w:val="hr-HR"/>
        </w:rPr>
        <w:t xml:space="preserve">ha </w:t>
      </w:r>
      <w:r w:rsidRPr="00F320A3">
        <w:rPr>
          <w:rFonts w:ascii="Times New Roman" w:eastAsia="Calibri" w:hAnsi="Times New Roman" w:cs="Times New Roman"/>
          <w:sz w:val="24"/>
          <w:szCs w:val="24"/>
          <w:lang w:val="hr-HR"/>
        </w:rPr>
        <w:t>poljoprivrednog zemljišta u vlasništvu Republike Hrvatske.</w:t>
      </w:r>
    </w:p>
    <w:p w:rsidR="00F320A3" w:rsidRDefault="00F320A3" w:rsidP="000871FE">
      <w:pPr>
        <w:spacing w:after="200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br w:type="page"/>
      </w:r>
    </w:p>
    <w:p w:rsidR="000871FE" w:rsidRPr="000871FE" w:rsidRDefault="000871FE" w:rsidP="000871FE">
      <w:pPr>
        <w:spacing w:after="200"/>
        <w:rPr>
          <w:rFonts w:ascii="Times New Roman" w:eastAsia="Calibri" w:hAnsi="Times New Roman" w:cs="Times New Roman"/>
          <w:b/>
          <w:sz w:val="24"/>
          <w:szCs w:val="24"/>
          <w:lang w:val="hr-HR"/>
        </w:rPr>
      </w:pPr>
      <w:r w:rsidRPr="000871FE">
        <w:rPr>
          <w:rFonts w:ascii="Times New Roman" w:eastAsia="Calibri" w:hAnsi="Times New Roman" w:cs="Times New Roman"/>
          <w:b/>
          <w:sz w:val="24"/>
          <w:szCs w:val="24"/>
          <w:lang w:val="hr-HR"/>
        </w:rPr>
        <w:lastRenderedPageBreak/>
        <w:t>PODACI O DOSADAŠNJEM RASPOLAGANJU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0871FE" w:rsidRPr="00702C67" w:rsidTr="00C54FB6">
        <w:tc>
          <w:tcPr>
            <w:tcW w:w="2322" w:type="dxa"/>
            <w:vAlign w:val="center"/>
          </w:tcPr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71FE">
              <w:rPr>
                <w:rFonts w:ascii="Times New Roman" w:eastAsia="Calibri" w:hAnsi="Times New Roman" w:cs="Times New Roman"/>
                <w:b/>
              </w:rPr>
              <w:t>REDNI BROJ</w:t>
            </w:r>
          </w:p>
        </w:tc>
        <w:tc>
          <w:tcPr>
            <w:tcW w:w="2322" w:type="dxa"/>
            <w:vAlign w:val="center"/>
          </w:tcPr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71FE">
              <w:rPr>
                <w:rFonts w:ascii="Times New Roman" w:eastAsia="Calibri" w:hAnsi="Times New Roman" w:cs="Times New Roman"/>
                <w:b/>
              </w:rPr>
              <w:t>VRSTA UGOVORA</w:t>
            </w:r>
          </w:p>
        </w:tc>
        <w:tc>
          <w:tcPr>
            <w:tcW w:w="2322" w:type="dxa"/>
            <w:vAlign w:val="center"/>
          </w:tcPr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71FE">
              <w:rPr>
                <w:rFonts w:ascii="Times New Roman" w:eastAsia="Calibri" w:hAnsi="Times New Roman" w:cs="Times New Roman"/>
                <w:b/>
              </w:rPr>
              <w:t>UKUPAN BROJ UGOVORA</w:t>
            </w:r>
          </w:p>
        </w:tc>
        <w:tc>
          <w:tcPr>
            <w:tcW w:w="2322" w:type="dxa"/>
            <w:vAlign w:val="center"/>
          </w:tcPr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71FE">
              <w:rPr>
                <w:rFonts w:ascii="Times New Roman" w:eastAsia="Calibri" w:hAnsi="Times New Roman" w:cs="Times New Roman"/>
                <w:b/>
              </w:rPr>
              <w:t>UKUPNA POVRŠINA PO UGOVORIMA u ha</w:t>
            </w:r>
          </w:p>
        </w:tc>
      </w:tr>
      <w:tr w:rsidR="000871FE" w:rsidRPr="000871FE" w:rsidTr="00C54FB6">
        <w:tc>
          <w:tcPr>
            <w:tcW w:w="2322" w:type="dxa"/>
          </w:tcPr>
          <w:p w:rsidR="000871FE" w:rsidRPr="00F9095C" w:rsidRDefault="00342029" w:rsidP="000871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95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2" w:type="dxa"/>
          </w:tcPr>
          <w:p w:rsidR="000871FE" w:rsidRPr="00F9095C" w:rsidRDefault="000871FE" w:rsidP="000871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95C">
              <w:rPr>
                <w:rFonts w:ascii="Times New Roman" w:eastAsia="Calibri" w:hAnsi="Times New Roman" w:cs="Times New Roman"/>
                <w:sz w:val="24"/>
                <w:szCs w:val="24"/>
              </w:rPr>
              <w:t>zakup</w:t>
            </w:r>
          </w:p>
        </w:tc>
        <w:tc>
          <w:tcPr>
            <w:tcW w:w="2322" w:type="dxa"/>
          </w:tcPr>
          <w:p w:rsidR="000871FE" w:rsidRPr="00F9095C" w:rsidRDefault="00ED710B" w:rsidP="00F90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2" w:type="dxa"/>
          </w:tcPr>
          <w:p w:rsidR="000871FE" w:rsidRPr="00F9095C" w:rsidRDefault="00ED710B" w:rsidP="00F9095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26,3490</w:t>
            </w:r>
          </w:p>
        </w:tc>
      </w:tr>
      <w:tr w:rsidR="000871FE" w:rsidRPr="000871FE" w:rsidTr="00C54FB6">
        <w:tc>
          <w:tcPr>
            <w:tcW w:w="2322" w:type="dxa"/>
          </w:tcPr>
          <w:p w:rsidR="000871FE" w:rsidRPr="00F9095C" w:rsidRDefault="00342029" w:rsidP="000871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95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2" w:type="dxa"/>
          </w:tcPr>
          <w:p w:rsidR="000871FE" w:rsidRPr="00F9095C" w:rsidRDefault="000871FE" w:rsidP="000871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95C">
              <w:rPr>
                <w:rFonts w:ascii="Times New Roman" w:eastAsia="Calibri" w:hAnsi="Times New Roman" w:cs="Times New Roman"/>
                <w:sz w:val="24"/>
                <w:szCs w:val="24"/>
              </w:rPr>
              <w:t>dugogodišnji zakup</w:t>
            </w:r>
          </w:p>
        </w:tc>
        <w:tc>
          <w:tcPr>
            <w:tcW w:w="2322" w:type="dxa"/>
          </w:tcPr>
          <w:p w:rsidR="000871FE" w:rsidRPr="00F9095C" w:rsidRDefault="000871FE" w:rsidP="00F90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0871FE" w:rsidRPr="00F9095C" w:rsidRDefault="000871FE" w:rsidP="00F9095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1FE" w:rsidRPr="000871FE" w:rsidTr="00C54FB6">
        <w:tc>
          <w:tcPr>
            <w:tcW w:w="2322" w:type="dxa"/>
          </w:tcPr>
          <w:p w:rsidR="000871FE" w:rsidRPr="00F9095C" w:rsidRDefault="00342029" w:rsidP="000871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95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2" w:type="dxa"/>
          </w:tcPr>
          <w:p w:rsidR="000871FE" w:rsidRPr="00F9095C" w:rsidRDefault="000871FE" w:rsidP="000871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95C">
              <w:rPr>
                <w:rFonts w:ascii="Times New Roman" w:eastAsia="Calibri" w:hAnsi="Times New Roman" w:cs="Times New Roman"/>
                <w:sz w:val="24"/>
                <w:szCs w:val="24"/>
              </w:rPr>
              <w:t>koncesija</w:t>
            </w:r>
          </w:p>
        </w:tc>
        <w:tc>
          <w:tcPr>
            <w:tcW w:w="2322" w:type="dxa"/>
          </w:tcPr>
          <w:p w:rsidR="000871FE" w:rsidRPr="00F9095C" w:rsidRDefault="000871FE" w:rsidP="00F90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:rsidR="00F9095C" w:rsidRPr="00F9095C" w:rsidRDefault="00F9095C" w:rsidP="00F9095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1FE" w:rsidRPr="000871FE" w:rsidTr="00C54FB6">
        <w:tc>
          <w:tcPr>
            <w:tcW w:w="2322" w:type="dxa"/>
          </w:tcPr>
          <w:p w:rsidR="000871FE" w:rsidRPr="00F9095C" w:rsidRDefault="000871FE" w:rsidP="000871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2029" w:rsidRPr="00F9095C" w:rsidRDefault="00342029" w:rsidP="000871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95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2" w:type="dxa"/>
          </w:tcPr>
          <w:p w:rsidR="000871FE" w:rsidRPr="00F9095C" w:rsidRDefault="000871FE" w:rsidP="000871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95C">
              <w:rPr>
                <w:rFonts w:ascii="Times New Roman" w:eastAsia="Calibri" w:hAnsi="Times New Roman" w:cs="Times New Roman"/>
                <w:sz w:val="24"/>
                <w:szCs w:val="24"/>
              </w:rPr>
              <w:t>privremeno korištenje</w:t>
            </w:r>
          </w:p>
        </w:tc>
        <w:tc>
          <w:tcPr>
            <w:tcW w:w="2322" w:type="dxa"/>
          </w:tcPr>
          <w:p w:rsidR="00342029" w:rsidRPr="00F9095C" w:rsidRDefault="00ED710B" w:rsidP="00F90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22" w:type="dxa"/>
          </w:tcPr>
          <w:p w:rsidR="00342029" w:rsidRPr="00F9095C" w:rsidRDefault="00ED710B" w:rsidP="00F9095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237,9028</w:t>
            </w:r>
          </w:p>
        </w:tc>
      </w:tr>
      <w:tr w:rsidR="000871FE" w:rsidRPr="000871FE" w:rsidTr="00C54FB6">
        <w:tc>
          <w:tcPr>
            <w:tcW w:w="2322" w:type="dxa"/>
          </w:tcPr>
          <w:p w:rsidR="000871FE" w:rsidRPr="00F9095C" w:rsidRDefault="000871FE" w:rsidP="000871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2029" w:rsidRPr="00F9095C" w:rsidRDefault="00342029" w:rsidP="000871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95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2" w:type="dxa"/>
          </w:tcPr>
          <w:p w:rsidR="000871FE" w:rsidRPr="00F9095C" w:rsidRDefault="000871FE" w:rsidP="000871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95C">
              <w:rPr>
                <w:rFonts w:ascii="Times New Roman" w:eastAsia="Calibri" w:hAnsi="Times New Roman" w:cs="Times New Roman"/>
                <w:sz w:val="24"/>
                <w:szCs w:val="24"/>
              </w:rPr>
              <w:t>prodaja s obročnom otplatom</w:t>
            </w:r>
          </w:p>
        </w:tc>
        <w:tc>
          <w:tcPr>
            <w:tcW w:w="2322" w:type="dxa"/>
          </w:tcPr>
          <w:p w:rsidR="00342029" w:rsidRPr="00F9095C" w:rsidRDefault="00ED710B" w:rsidP="00F909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2" w:type="dxa"/>
          </w:tcPr>
          <w:p w:rsidR="00342029" w:rsidRPr="00F9095C" w:rsidRDefault="00ED710B" w:rsidP="00F9095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103,7305</w:t>
            </w:r>
          </w:p>
        </w:tc>
      </w:tr>
      <w:tr w:rsidR="000871FE" w:rsidRPr="000871FE" w:rsidTr="00C54FB6">
        <w:tc>
          <w:tcPr>
            <w:tcW w:w="2322" w:type="dxa"/>
          </w:tcPr>
          <w:p w:rsidR="000871FE" w:rsidRPr="000871FE" w:rsidRDefault="000871FE" w:rsidP="000871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2" w:type="dxa"/>
          </w:tcPr>
          <w:p w:rsidR="000871FE" w:rsidRPr="000871FE" w:rsidRDefault="000871FE" w:rsidP="000871F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2" w:type="dxa"/>
          </w:tcPr>
          <w:p w:rsidR="000871FE" w:rsidRPr="000871FE" w:rsidRDefault="00ED710B" w:rsidP="00F9095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322" w:type="dxa"/>
          </w:tcPr>
          <w:p w:rsidR="000871FE" w:rsidRPr="000871FE" w:rsidRDefault="00ED710B" w:rsidP="00F9095C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367,9823</w:t>
            </w:r>
          </w:p>
        </w:tc>
      </w:tr>
    </w:tbl>
    <w:p w:rsidR="000871FE" w:rsidRPr="000871FE" w:rsidRDefault="000871FE" w:rsidP="000871FE">
      <w:pPr>
        <w:spacing w:after="200"/>
        <w:rPr>
          <w:rFonts w:ascii="Times New Roman" w:eastAsia="Calibri" w:hAnsi="Times New Roman" w:cs="Times New Roman"/>
          <w:b/>
          <w:sz w:val="24"/>
          <w:szCs w:val="24"/>
          <w:lang w:val="hr-HR"/>
        </w:rPr>
      </w:pPr>
    </w:p>
    <w:p w:rsidR="000871FE" w:rsidRPr="000871FE" w:rsidRDefault="000871FE" w:rsidP="000871FE">
      <w:pPr>
        <w:spacing w:after="200"/>
        <w:rPr>
          <w:rFonts w:ascii="Times New Roman" w:eastAsia="Calibri" w:hAnsi="Times New Roman" w:cs="Times New Roman"/>
          <w:b/>
          <w:sz w:val="24"/>
          <w:szCs w:val="24"/>
          <w:lang w:val="hr-HR"/>
        </w:rPr>
      </w:pPr>
    </w:p>
    <w:p w:rsidR="000871FE" w:rsidRPr="000871FE" w:rsidRDefault="000871FE" w:rsidP="000871FE">
      <w:pPr>
        <w:spacing w:after="200"/>
        <w:rPr>
          <w:rFonts w:ascii="Times New Roman" w:eastAsia="Calibri" w:hAnsi="Times New Roman" w:cs="Times New Roman"/>
          <w:b/>
          <w:sz w:val="24"/>
          <w:szCs w:val="24"/>
          <w:lang w:val="hr-BA"/>
        </w:rPr>
      </w:pPr>
      <w:r w:rsidRPr="000871FE">
        <w:rPr>
          <w:rFonts w:ascii="Times New Roman" w:eastAsia="Calibri" w:hAnsi="Times New Roman" w:cs="Times New Roman"/>
          <w:b/>
          <w:sz w:val="24"/>
          <w:szCs w:val="24"/>
          <w:lang w:val="hr-BA"/>
        </w:rPr>
        <w:t>SADRŽAJ PROGRAMA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0871FE" w:rsidRPr="00702C67" w:rsidTr="00C54FB6">
        <w:tc>
          <w:tcPr>
            <w:tcW w:w="3096" w:type="dxa"/>
            <w:vAlign w:val="center"/>
          </w:tcPr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  <w:b/>
                <w:lang w:val="hr-BA"/>
              </w:rPr>
            </w:pPr>
            <w:r w:rsidRPr="000871FE">
              <w:rPr>
                <w:rFonts w:ascii="Times New Roman" w:eastAsia="Calibri" w:hAnsi="Times New Roman" w:cs="Times New Roman"/>
                <w:b/>
                <w:lang w:val="hr-BA"/>
              </w:rPr>
              <w:t>OBLIK RASPOLAGANJA</w:t>
            </w:r>
          </w:p>
        </w:tc>
        <w:tc>
          <w:tcPr>
            <w:tcW w:w="3096" w:type="dxa"/>
            <w:vAlign w:val="center"/>
          </w:tcPr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  <w:b/>
                <w:lang w:val="hr-BA"/>
              </w:rPr>
            </w:pPr>
            <w:r w:rsidRPr="000871FE">
              <w:rPr>
                <w:rFonts w:ascii="Times New Roman" w:eastAsia="Calibri" w:hAnsi="Times New Roman" w:cs="Times New Roman"/>
                <w:b/>
                <w:lang w:val="hr-BA"/>
              </w:rPr>
              <w:t>POVRŠINA</w:t>
            </w:r>
          </w:p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  <w:b/>
                <w:lang w:val="hr-BA"/>
              </w:rPr>
            </w:pPr>
            <w:r w:rsidRPr="000871FE">
              <w:rPr>
                <w:rFonts w:ascii="Times New Roman" w:eastAsia="Calibri" w:hAnsi="Times New Roman" w:cs="Times New Roman"/>
                <w:b/>
                <w:lang w:val="hr-BA"/>
              </w:rPr>
              <w:t>u ha</w:t>
            </w:r>
          </w:p>
        </w:tc>
        <w:tc>
          <w:tcPr>
            <w:tcW w:w="3096" w:type="dxa"/>
            <w:vAlign w:val="center"/>
          </w:tcPr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  <w:b/>
                <w:lang w:val="hr-BA"/>
              </w:rPr>
            </w:pPr>
            <w:r w:rsidRPr="000871FE">
              <w:rPr>
                <w:rFonts w:ascii="Times New Roman" w:eastAsia="Calibri" w:hAnsi="Times New Roman" w:cs="Times New Roman"/>
                <w:b/>
                <w:lang w:val="hr-BA"/>
              </w:rPr>
              <w:t>NAPOMENA</w:t>
            </w:r>
          </w:p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  <w:b/>
                <w:lang w:val="hr-BA"/>
              </w:rPr>
            </w:pPr>
            <w:r w:rsidRPr="000871FE">
              <w:rPr>
                <w:rFonts w:ascii="Times New Roman" w:eastAsia="Calibri" w:hAnsi="Times New Roman" w:cs="Times New Roman"/>
                <w:b/>
                <w:lang w:val="hr-BA"/>
              </w:rPr>
              <w:t>(minirano, višegodišnji nasadi i sustavi odvodnje i navodnjavanja)</w:t>
            </w:r>
          </w:p>
        </w:tc>
      </w:tr>
      <w:tr w:rsidR="000871FE" w:rsidRPr="000871FE" w:rsidTr="00C54FB6">
        <w:tc>
          <w:tcPr>
            <w:tcW w:w="3096" w:type="dxa"/>
          </w:tcPr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  <w:b/>
                <w:lang w:val="hr-BA"/>
              </w:rPr>
            </w:pPr>
            <w:r w:rsidRPr="000871FE">
              <w:rPr>
                <w:rFonts w:ascii="Times New Roman" w:eastAsia="Calibri" w:hAnsi="Times New Roman" w:cs="Times New Roman"/>
              </w:rPr>
              <w:t xml:space="preserve">površine određene za </w:t>
            </w:r>
            <w:r w:rsidRPr="000871FE">
              <w:rPr>
                <w:rFonts w:ascii="Times New Roman" w:eastAsia="Calibri" w:hAnsi="Times New Roman" w:cs="Times New Roman"/>
                <w:b/>
              </w:rPr>
              <w:t>povrat</w:t>
            </w:r>
          </w:p>
        </w:tc>
        <w:tc>
          <w:tcPr>
            <w:tcW w:w="3096" w:type="dxa"/>
          </w:tcPr>
          <w:p w:rsidR="000871FE" w:rsidRPr="00F320A3" w:rsidRDefault="00F9095C" w:rsidP="00F320A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  <w:r w:rsidRPr="00F320A3"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  <w:t>0</w:t>
            </w:r>
          </w:p>
        </w:tc>
        <w:tc>
          <w:tcPr>
            <w:tcW w:w="3096" w:type="dxa"/>
          </w:tcPr>
          <w:p w:rsidR="000871FE" w:rsidRPr="00F320A3" w:rsidRDefault="000871FE" w:rsidP="00F320A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</w:p>
        </w:tc>
      </w:tr>
      <w:tr w:rsidR="000871FE" w:rsidRPr="000871FE" w:rsidTr="00C54FB6">
        <w:tc>
          <w:tcPr>
            <w:tcW w:w="3096" w:type="dxa"/>
          </w:tcPr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71FE">
              <w:rPr>
                <w:rFonts w:ascii="Times New Roman" w:eastAsia="Calibri" w:hAnsi="Times New Roman" w:cs="Times New Roman"/>
              </w:rPr>
              <w:t xml:space="preserve">površine određene za </w:t>
            </w:r>
            <w:r w:rsidRPr="000871FE">
              <w:rPr>
                <w:rFonts w:ascii="Times New Roman" w:eastAsia="Calibri" w:hAnsi="Times New Roman" w:cs="Times New Roman"/>
                <w:b/>
              </w:rPr>
              <w:t>prodaju</w:t>
            </w:r>
          </w:p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71FE">
              <w:rPr>
                <w:rFonts w:ascii="Times New Roman" w:eastAsia="Calibri" w:hAnsi="Times New Roman" w:cs="Times New Roman"/>
              </w:rPr>
              <w:t>- jednokratno, maksimalno</w:t>
            </w:r>
          </w:p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  <w:b/>
                <w:lang w:val="hr-BA"/>
              </w:rPr>
            </w:pPr>
            <w:r w:rsidRPr="000871FE">
              <w:rPr>
                <w:rFonts w:ascii="Times New Roman" w:eastAsia="Calibri" w:hAnsi="Times New Roman" w:cs="Times New Roman"/>
              </w:rPr>
              <w:t xml:space="preserve"> do 25%</w:t>
            </w:r>
          </w:p>
        </w:tc>
        <w:tc>
          <w:tcPr>
            <w:tcW w:w="3096" w:type="dxa"/>
          </w:tcPr>
          <w:p w:rsidR="00F320A3" w:rsidRDefault="00F320A3" w:rsidP="00F320A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</w:p>
          <w:p w:rsidR="000871FE" w:rsidRPr="00F320A3" w:rsidRDefault="00C05836" w:rsidP="00FC22E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  <w:t>22,</w:t>
            </w:r>
            <w:r w:rsidR="00FC22EB"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  <w:t>6517</w:t>
            </w:r>
          </w:p>
        </w:tc>
        <w:tc>
          <w:tcPr>
            <w:tcW w:w="3096" w:type="dxa"/>
          </w:tcPr>
          <w:p w:rsidR="000871FE" w:rsidRPr="00F320A3" w:rsidRDefault="000871FE" w:rsidP="00F320A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</w:p>
        </w:tc>
      </w:tr>
      <w:tr w:rsidR="000871FE" w:rsidRPr="000871FE" w:rsidTr="00C54FB6">
        <w:tc>
          <w:tcPr>
            <w:tcW w:w="3096" w:type="dxa"/>
          </w:tcPr>
          <w:p w:rsidR="00F320A3" w:rsidRDefault="00F320A3" w:rsidP="000871FE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  <w:b/>
                <w:lang w:val="hr-BA"/>
              </w:rPr>
            </w:pPr>
            <w:r w:rsidRPr="000871FE">
              <w:rPr>
                <w:rFonts w:ascii="Times New Roman" w:eastAsia="Calibri" w:hAnsi="Times New Roman" w:cs="Times New Roman"/>
              </w:rPr>
              <w:t xml:space="preserve">površine određene za </w:t>
            </w:r>
            <w:r w:rsidRPr="000871FE">
              <w:rPr>
                <w:rFonts w:ascii="Times New Roman" w:eastAsia="Calibri" w:hAnsi="Times New Roman" w:cs="Times New Roman"/>
                <w:b/>
              </w:rPr>
              <w:t>zakup</w:t>
            </w:r>
          </w:p>
        </w:tc>
        <w:tc>
          <w:tcPr>
            <w:tcW w:w="3096" w:type="dxa"/>
          </w:tcPr>
          <w:p w:rsidR="00F320A3" w:rsidRDefault="00F320A3" w:rsidP="00F320A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</w:p>
          <w:p w:rsidR="000871FE" w:rsidRPr="00F320A3" w:rsidRDefault="00C05836" w:rsidP="00E114F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  <w:t>6</w:t>
            </w:r>
            <w:r w:rsidR="00E114F0"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  <w:t>06,0086</w:t>
            </w:r>
          </w:p>
        </w:tc>
        <w:tc>
          <w:tcPr>
            <w:tcW w:w="3096" w:type="dxa"/>
          </w:tcPr>
          <w:p w:rsidR="000871FE" w:rsidRPr="00F320A3" w:rsidRDefault="000871FE" w:rsidP="00F320A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</w:p>
        </w:tc>
      </w:tr>
      <w:tr w:rsidR="000871FE" w:rsidRPr="000871FE" w:rsidTr="00C54FB6">
        <w:tc>
          <w:tcPr>
            <w:tcW w:w="3096" w:type="dxa"/>
          </w:tcPr>
          <w:p w:rsidR="00F320A3" w:rsidRDefault="00F320A3" w:rsidP="000871FE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  <w:b/>
                <w:lang w:val="hr-BA"/>
              </w:rPr>
            </w:pPr>
            <w:r w:rsidRPr="000871FE">
              <w:rPr>
                <w:rFonts w:ascii="Times New Roman" w:eastAsia="Calibri" w:hAnsi="Times New Roman" w:cs="Times New Roman"/>
              </w:rPr>
              <w:t xml:space="preserve">površine određene za </w:t>
            </w:r>
            <w:r w:rsidRPr="000871FE">
              <w:rPr>
                <w:rFonts w:ascii="Times New Roman" w:eastAsia="Calibri" w:hAnsi="Times New Roman" w:cs="Times New Roman"/>
                <w:b/>
              </w:rPr>
              <w:t>zakup za ribnjake</w:t>
            </w:r>
          </w:p>
        </w:tc>
        <w:tc>
          <w:tcPr>
            <w:tcW w:w="3096" w:type="dxa"/>
          </w:tcPr>
          <w:p w:rsidR="00F320A3" w:rsidRDefault="00F320A3" w:rsidP="00F320A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</w:p>
          <w:p w:rsidR="00F9095C" w:rsidRPr="00F320A3" w:rsidRDefault="00F9095C" w:rsidP="00F320A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  <w:r w:rsidRPr="00F320A3"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  <w:t>0</w:t>
            </w:r>
          </w:p>
        </w:tc>
        <w:tc>
          <w:tcPr>
            <w:tcW w:w="3096" w:type="dxa"/>
          </w:tcPr>
          <w:p w:rsidR="000871FE" w:rsidRPr="00F320A3" w:rsidRDefault="000871FE" w:rsidP="00F320A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</w:p>
        </w:tc>
      </w:tr>
      <w:tr w:rsidR="000871FE" w:rsidRPr="000871FE" w:rsidTr="00C54FB6">
        <w:tc>
          <w:tcPr>
            <w:tcW w:w="3096" w:type="dxa"/>
          </w:tcPr>
          <w:p w:rsidR="00F320A3" w:rsidRDefault="00F320A3" w:rsidP="000871FE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  <w:b/>
                <w:lang w:val="hr-BA"/>
              </w:rPr>
            </w:pPr>
            <w:r w:rsidRPr="000871FE">
              <w:rPr>
                <w:rFonts w:ascii="Times New Roman" w:eastAsia="Calibri" w:hAnsi="Times New Roman" w:cs="Times New Roman"/>
              </w:rPr>
              <w:t xml:space="preserve">površine određene za </w:t>
            </w:r>
            <w:r w:rsidRPr="000871FE">
              <w:rPr>
                <w:rFonts w:ascii="Times New Roman" w:eastAsia="Calibri" w:hAnsi="Times New Roman" w:cs="Times New Roman"/>
                <w:b/>
              </w:rPr>
              <w:t>zakup zajedničkih pašnjaka</w:t>
            </w:r>
          </w:p>
        </w:tc>
        <w:tc>
          <w:tcPr>
            <w:tcW w:w="3096" w:type="dxa"/>
          </w:tcPr>
          <w:p w:rsidR="000871FE" w:rsidRPr="00F320A3" w:rsidRDefault="00F9095C" w:rsidP="00F320A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  <w:r w:rsidRPr="00F320A3"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  <w:t>0</w:t>
            </w:r>
          </w:p>
        </w:tc>
        <w:tc>
          <w:tcPr>
            <w:tcW w:w="3096" w:type="dxa"/>
          </w:tcPr>
          <w:p w:rsidR="000871FE" w:rsidRPr="00F320A3" w:rsidRDefault="000871FE" w:rsidP="00F320A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</w:p>
        </w:tc>
      </w:tr>
      <w:tr w:rsidR="000871FE" w:rsidRPr="000871FE" w:rsidTr="00C54FB6">
        <w:tc>
          <w:tcPr>
            <w:tcW w:w="3096" w:type="dxa"/>
          </w:tcPr>
          <w:p w:rsidR="00F320A3" w:rsidRDefault="00F320A3" w:rsidP="000871FE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871FE">
              <w:rPr>
                <w:rFonts w:ascii="Times New Roman" w:eastAsia="Calibri" w:hAnsi="Times New Roman" w:cs="Times New Roman"/>
              </w:rPr>
              <w:t xml:space="preserve">površine određene za </w:t>
            </w:r>
            <w:r w:rsidRPr="000871FE">
              <w:rPr>
                <w:rFonts w:ascii="Times New Roman" w:eastAsia="Calibri" w:hAnsi="Times New Roman" w:cs="Times New Roman"/>
                <w:b/>
              </w:rPr>
              <w:t xml:space="preserve">ostale namjene </w:t>
            </w:r>
          </w:p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871FE">
              <w:rPr>
                <w:rFonts w:ascii="Times New Roman" w:eastAsia="Calibri" w:hAnsi="Times New Roman" w:cs="Times New Roman"/>
              </w:rPr>
              <w:t xml:space="preserve">- jednokratno, maksimalno </w:t>
            </w:r>
          </w:p>
          <w:p w:rsidR="000871FE" w:rsidRPr="000871FE" w:rsidRDefault="000871FE" w:rsidP="000871FE">
            <w:pPr>
              <w:jc w:val="center"/>
              <w:rPr>
                <w:rFonts w:ascii="Times New Roman" w:eastAsia="Calibri" w:hAnsi="Times New Roman" w:cs="Times New Roman"/>
                <w:b/>
                <w:lang w:val="hr-BA"/>
              </w:rPr>
            </w:pPr>
            <w:r w:rsidRPr="000871FE">
              <w:rPr>
                <w:rFonts w:ascii="Times New Roman" w:eastAsia="Calibri" w:hAnsi="Times New Roman" w:cs="Times New Roman"/>
              </w:rPr>
              <w:t>do 5%</w:t>
            </w:r>
          </w:p>
        </w:tc>
        <w:tc>
          <w:tcPr>
            <w:tcW w:w="3096" w:type="dxa"/>
          </w:tcPr>
          <w:p w:rsidR="00F320A3" w:rsidRDefault="00F320A3" w:rsidP="00F320A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</w:p>
          <w:p w:rsidR="00F320A3" w:rsidRDefault="00F320A3" w:rsidP="00F320A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</w:p>
          <w:p w:rsidR="000871FE" w:rsidRPr="00F320A3" w:rsidRDefault="006719BE" w:rsidP="00F320A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  <w:t>9,7984</w:t>
            </w:r>
          </w:p>
        </w:tc>
        <w:tc>
          <w:tcPr>
            <w:tcW w:w="3096" w:type="dxa"/>
          </w:tcPr>
          <w:p w:rsidR="000871FE" w:rsidRPr="00F320A3" w:rsidRDefault="000871FE" w:rsidP="00F320A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val="hr-BA"/>
              </w:rPr>
            </w:pPr>
          </w:p>
        </w:tc>
      </w:tr>
    </w:tbl>
    <w:p w:rsidR="000871FE" w:rsidRPr="000871FE" w:rsidRDefault="000871FE" w:rsidP="000871FE">
      <w:pPr>
        <w:spacing w:after="200"/>
        <w:rPr>
          <w:rFonts w:ascii="Calibri" w:eastAsia="Calibri" w:hAnsi="Calibri" w:cs="Times New Roman"/>
          <w:b/>
          <w:lang w:val="hr-BA"/>
        </w:rPr>
      </w:pPr>
    </w:p>
    <w:p w:rsidR="000871FE" w:rsidRPr="000871FE" w:rsidRDefault="000871FE" w:rsidP="000871FE">
      <w:pPr>
        <w:spacing w:after="200"/>
        <w:rPr>
          <w:rFonts w:ascii="Calibri" w:eastAsia="Calibri" w:hAnsi="Calibri" w:cs="Times New Roman"/>
          <w:b/>
          <w:lang w:val="hr-BA"/>
        </w:rPr>
      </w:pPr>
    </w:p>
    <w:p w:rsidR="000871FE" w:rsidRPr="000871FE" w:rsidRDefault="000871FE" w:rsidP="00ED710B">
      <w:pPr>
        <w:spacing w:after="200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0871FE">
        <w:rPr>
          <w:rFonts w:ascii="Times New Roman" w:eastAsia="Calibri" w:hAnsi="Times New Roman" w:cs="Times New Roman"/>
          <w:b/>
          <w:sz w:val="24"/>
          <w:szCs w:val="24"/>
          <w:lang w:val="hr-HR"/>
        </w:rPr>
        <w:t>MAKSIMALNA POVRŠINA ZA ZAKUP iznosi:</w:t>
      </w:r>
      <w:r w:rsidR="001A2F20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="00ED710B" w:rsidRPr="00F320A3">
        <w:rPr>
          <w:rFonts w:ascii="Times New Roman" w:eastAsia="Calibri" w:hAnsi="Times New Roman" w:cs="Times New Roman"/>
          <w:b/>
          <w:sz w:val="24"/>
          <w:szCs w:val="24"/>
          <w:lang w:val="hr-HR"/>
        </w:rPr>
        <w:t xml:space="preserve"> </w:t>
      </w:r>
      <w:r w:rsidR="00F320A3" w:rsidRPr="00F320A3">
        <w:rPr>
          <w:rFonts w:ascii="Times New Roman" w:eastAsia="Calibri" w:hAnsi="Times New Roman" w:cs="Times New Roman"/>
          <w:b/>
          <w:sz w:val="24"/>
          <w:szCs w:val="24"/>
          <w:lang w:val="hr-HR"/>
        </w:rPr>
        <w:t xml:space="preserve">_60_ </w:t>
      </w:r>
      <w:r w:rsidRPr="00F320A3">
        <w:rPr>
          <w:rFonts w:ascii="Times New Roman" w:eastAsia="Calibri" w:hAnsi="Times New Roman" w:cs="Times New Roman"/>
          <w:b/>
          <w:sz w:val="24"/>
          <w:szCs w:val="24"/>
          <w:lang w:val="hr-HR"/>
        </w:rPr>
        <w:t>ha.</w:t>
      </w:r>
    </w:p>
    <w:p w:rsidR="000871FE" w:rsidRPr="000871FE" w:rsidRDefault="000871FE" w:rsidP="000871FE">
      <w:pPr>
        <w:spacing w:after="200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1A2F20" w:rsidRDefault="001A2F20" w:rsidP="000871FE">
      <w:pPr>
        <w:spacing w:after="200"/>
        <w:rPr>
          <w:rFonts w:ascii="Times New Roman" w:eastAsia="Calibri" w:hAnsi="Times New Roman" w:cs="Times New Roman"/>
          <w:b/>
          <w:sz w:val="24"/>
          <w:szCs w:val="24"/>
          <w:lang w:val="hr-HR"/>
        </w:rPr>
      </w:pPr>
    </w:p>
    <w:p w:rsidR="001A2F20" w:rsidRDefault="001A2F20" w:rsidP="000871FE">
      <w:pPr>
        <w:spacing w:after="200"/>
        <w:rPr>
          <w:rFonts w:ascii="Times New Roman" w:eastAsia="Calibri" w:hAnsi="Times New Roman" w:cs="Times New Roman"/>
          <w:b/>
          <w:sz w:val="24"/>
          <w:szCs w:val="24"/>
          <w:lang w:val="hr-HR"/>
        </w:rPr>
      </w:pPr>
    </w:p>
    <w:p w:rsidR="000871FE" w:rsidRPr="000871FE" w:rsidRDefault="000871FE" w:rsidP="000871FE">
      <w:pPr>
        <w:spacing w:after="200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0871FE">
        <w:rPr>
          <w:rFonts w:ascii="Times New Roman" w:eastAsia="Calibri" w:hAnsi="Times New Roman" w:cs="Times New Roman"/>
          <w:b/>
          <w:sz w:val="24"/>
          <w:szCs w:val="24"/>
          <w:lang w:val="hr-HR"/>
        </w:rPr>
        <w:t>NAPOMENA/OBRAZLOŽENJE</w:t>
      </w:r>
      <w:r w:rsidRPr="000871FE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(određene specifičnosti za područje jedinice lokalne samouprave):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0871FE" w:rsidRPr="00702C67" w:rsidTr="00485840">
        <w:trPr>
          <w:trHeight w:val="6200"/>
        </w:trPr>
        <w:tc>
          <w:tcPr>
            <w:tcW w:w="9322" w:type="dxa"/>
          </w:tcPr>
          <w:p w:rsidR="006719BE" w:rsidRDefault="006719BE" w:rsidP="006719BE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Općina Kloštar Ivanić nalazi se u istočnom dijelu Zagrebačke županije. Prostire se na 79 km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Prema popisu stanovništva iz 2011. broji 6.091 stanovnika (77 st./km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Obuhvaća 12 naselja: </w:t>
            </w:r>
            <w:r w:rsidRPr="006719BE">
              <w:rPr>
                <w:rFonts w:ascii="Times New Roman" w:eastAsia="Calibri" w:hAnsi="Times New Roman" w:cs="Times New Roman"/>
                <w:sz w:val="24"/>
                <w:szCs w:val="24"/>
              </w:rPr>
              <w:t>Klo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štar Ivanić, Bešlinec, Čemernicu Lonjsku, Donju Obrešku, Gornju Obrešku, Krišce</w:t>
            </w:r>
            <w:r w:rsidRPr="006719BE">
              <w:rPr>
                <w:rFonts w:ascii="Times New Roman" w:eastAsia="Calibri" w:hAnsi="Times New Roman" w:cs="Times New Roman"/>
                <w:sz w:val="24"/>
                <w:szCs w:val="24"/>
              </w:rPr>
              <w:t>, Lip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ovec Lonjski, Predavec, Sobočane, Staru Marču</w:t>
            </w:r>
            <w:r w:rsidRPr="006719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Šćapovec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65728" w:rsidRDefault="006719BE" w:rsidP="006719BE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Programom raspolaganja državnim poljoprivrednim zemljištem na području Općine popisan</w:t>
            </w:r>
            <w:r w:rsidR="00E114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 je 638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ha zemljišta. </w:t>
            </w:r>
            <w:r w:rsidR="00F320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Pritom treba naglasiti da do trenutka izrade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Programa</w:t>
            </w:r>
            <w:r w:rsidR="00F320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05836">
              <w:rPr>
                <w:rFonts w:ascii="Times New Roman" w:eastAsia="Calibri" w:hAnsi="Times New Roman" w:cs="Times New Roman"/>
                <w:sz w:val="24"/>
                <w:szCs w:val="24"/>
              </w:rPr>
              <w:t>Općini nije pristigla</w:t>
            </w:r>
            <w:r w:rsidR="004858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05836">
              <w:rPr>
                <w:rFonts w:ascii="Times New Roman" w:eastAsia="Calibri" w:hAnsi="Times New Roman" w:cs="Times New Roman"/>
                <w:sz w:val="24"/>
                <w:szCs w:val="24"/>
              </w:rPr>
              <w:t>većina</w:t>
            </w:r>
            <w:r w:rsidR="00F320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očitovanja tijela nadležnih za prostorno-gospodarsku i </w:t>
            </w:r>
            <w:r w:rsidR="004858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imovinsku verifikaciju Programa </w:t>
            </w:r>
            <w:r w:rsidR="006E0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(očitovanja Hrvatskih šuma o izuzimanju čestica po osnovi šumskogospodarske osnove, </w:t>
            </w:r>
            <w:r w:rsidR="00C05836">
              <w:rPr>
                <w:rFonts w:ascii="Times New Roman" w:eastAsia="Calibri" w:hAnsi="Times New Roman" w:cs="Times New Roman"/>
                <w:sz w:val="24"/>
                <w:szCs w:val="24"/>
              </w:rPr>
              <w:t>očitovanje Odjela za prostorno uređenje</w:t>
            </w:r>
            <w:r w:rsidR="004858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itd.). </w:t>
            </w:r>
            <w:r w:rsidR="00C05836">
              <w:rPr>
                <w:rFonts w:ascii="Times New Roman" w:eastAsia="Calibri" w:hAnsi="Times New Roman" w:cs="Times New Roman"/>
                <w:sz w:val="24"/>
                <w:szCs w:val="24"/>
              </w:rPr>
              <w:t>Stoga se m</w:t>
            </w:r>
            <w:r w:rsidR="006E0647">
              <w:rPr>
                <w:rFonts w:ascii="Times New Roman" w:eastAsia="Calibri" w:hAnsi="Times New Roman" w:cs="Times New Roman"/>
                <w:sz w:val="24"/>
                <w:szCs w:val="24"/>
              </w:rPr>
              <w:t>ože očekivati da će ovdje programirane površine u konačnici biti nešto manje. Primjerice, gotovo svo područje k.o. Nova Marča (oko 25 ha</w:t>
            </w:r>
            <w:r w:rsidR="004858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državnih (potencijalno) poljoprivrednih površina</w:t>
            </w:r>
            <w:r w:rsidR="006E0647">
              <w:rPr>
                <w:rFonts w:ascii="Times New Roman" w:eastAsia="Calibri" w:hAnsi="Times New Roman" w:cs="Times New Roman"/>
                <w:sz w:val="24"/>
                <w:szCs w:val="24"/>
              </w:rPr>
              <w:t>), iako katastarski zavedeno pod poljoprivrednim kulturama, vjerojatno će biti izuzeto iz Programa temeljem očitovanja Hrvatskih šuma.</w:t>
            </w:r>
          </w:p>
          <w:p w:rsidR="00FC22EB" w:rsidRDefault="006E0647" w:rsidP="001B140D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Efektivno se raspolaganje,</w:t>
            </w:r>
            <w:r w:rsidR="004858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dakle, može planirati na osnovi</w:t>
            </w:r>
            <w:r w:rsidR="00E114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500-550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 zemljišta (računajući i površine obuhvaćene višegodišnjim zakupima (26 ha)</w:t>
            </w:r>
            <w:r w:rsidR="0048584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ugovorenima prema odredbama ranijih zakonskih propisa).  S obzirom na ove površine, Programom se </w:t>
            </w:r>
            <w:r w:rsidR="00C058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utvrđuje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maksimalna površina za zakup u visini 60 </w:t>
            </w:r>
            <w:r w:rsidR="001B1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ha. Ukupno se za zakup predviđa </w:t>
            </w:r>
            <w:r w:rsidR="00C0583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E114F0"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1B1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ha zemljišta. </w:t>
            </w:r>
            <w:r w:rsidR="006719BE">
              <w:rPr>
                <w:rFonts w:ascii="Times New Roman" w:eastAsia="Calibri" w:hAnsi="Times New Roman" w:cs="Times New Roman"/>
                <w:sz w:val="24"/>
                <w:szCs w:val="24"/>
              </w:rPr>
              <w:t>Kad je riječ o prodaji, Program za ova</w:t>
            </w:r>
            <w:r w:rsidR="001B1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 oblik raspolaganja predviđa </w:t>
            </w:r>
            <w:r w:rsidR="00C05836">
              <w:rPr>
                <w:rFonts w:ascii="Times New Roman" w:eastAsia="Calibri" w:hAnsi="Times New Roman" w:cs="Times New Roman"/>
                <w:sz w:val="24"/>
                <w:szCs w:val="24"/>
              </w:rPr>
              <w:t>blizu 23</w:t>
            </w:r>
            <w:r w:rsidR="006719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ha ili </w:t>
            </w:r>
            <w:r w:rsidR="00C05836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  <w:r w:rsidR="006719BE">
              <w:rPr>
                <w:rFonts w:ascii="Times New Roman" w:eastAsia="Calibri" w:hAnsi="Times New Roman" w:cs="Times New Roman"/>
                <w:sz w:val="24"/>
                <w:szCs w:val="24"/>
              </w:rPr>
              <w:t>% ukupnih državnih poljop</w:t>
            </w:r>
            <w:r w:rsidR="001B1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rivrednih površina (zakonski dozvoljen maksimum: 25%). Ovisno o daljnjem interesu, za </w:t>
            </w:r>
            <w:r w:rsidR="00FC22EB">
              <w:rPr>
                <w:rFonts w:ascii="Times New Roman" w:eastAsia="Calibri" w:hAnsi="Times New Roman" w:cs="Times New Roman"/>
                <w:sz w:val="24"/>
                <w:szCs w:val="24"/>
              </w:rPr>
              <w:t>prodaju je</w:t>
            </w:r>
            <w:r w:rsidR="001B1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eventualnim izmjenama i dopunama Programa moguće odrediti i veće površine, s obzirom na to da (prema neslužbenom uvidu u prostorno-plansku dokumentaciju) na području Općine gotovo da i nema obradivog tla u bonitetu vrijednih i osobito vrijednih obradivih tala (P1 ili P2), obuhvaćenih ograničenjima u smislu čl. 59. st. 1. Zakona o poljoprivrednom zemljištu (NN 20/2018).</w:t>
            </w:r>
            <w:r w:rsidR="00FC22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Određeni dio zemljišta zasad o</w:t>
            </w:r>
            <w:r w:rsidR="00E114F0">
              <w:rPr>
                <w:rFonts w:ascii="Times New Roman" w:eastAsia="Calibri" w:hAnsi="Times New Roman" w:cs="Times New Roman"/>
                <w:sz w:val="24"/>
                <w:szCs w:val="24"/>
              </w:rPr>
              <w:t>staje izvan raspolaganja prodajom</w:t>
            </w:r>
            <w:r w:rsidR="00FC22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pa čak i one čestice za koje je iskazan interes korisnika, ponajprije zbog obuhvaćenosti </w:t>
            </w:r>
            <w:r w:rsidR="00E114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predmetnih čestica </w:t>
            </w:r>
            <w:r w:rsidR="00FC22EB">
              <w:rPr>
                <w:rFonts w:ascii="Times New Roman" w:eastAsia="Calibri" w:hAnsi="Times New Roman" w:cs="Times New Roman"/>
                <w:sz w:val="24"/>
                <w:szCs w:val="24"/>
              </w:rPr>
              <w:t>statusom javnog vodnog dobra.</w:t>
            </w:r>
          </w:p>
          <w:p w:rsidR="006E0647" w:rsidRDefault="00FC22EB" w:rsidP="00FC22EB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 pogledu ostalih oblika raspolaganja,</w:t>
            </w:r>
            <w:r w:rsidR="001B1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 području k.o. Kloštar Ivanić kčbr. 112, površine 9,8 ha (1,5% ukupnih drž. polj. površina) predviđa se za kvotu ostalih namjena, odnosno za prenamjenu u svrhu stvaranja poduzetničke zone.</w:t>
            </w:r>
          </w:p>
          <w:p w:rsidR="00FC22EB" w:rsidRPr="000871FE" w:rsidRDefault="00FC22EB" w:rsidP="00E114F0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 ostaloga, treba napomenuti da se određen broj čestica i dalje vodi na RH, iako je praktički prodan. Ovo je u dogledno vrijeme potrebno srediti, kako pri budućem raspolaganju ne bi dolazilo do zabuna.</w:t>
            </w:r>
          </w:p>
        </w:tc>
      </w:tr>
    </w:tbl>
    <w:p w:rsidR="000871FE" w:rsidRDefault="000871FE" w:rsidP="000871FE">
      <w:pPr>
        <w:spacing w:after="200"/>
        <w:rPr>
          <w:rFonts w:ascii="Times New Roman" w:eastAsia="Calibri" w:hAnsi="Times New Roman" w:cs="Times New Roman"/>
          <w:b/>
          <w:sz w:val="24"/>
          <w:szCs w:val="24"/>
          <w:lang w:val="hr-HR"/>
        </w:rPr>
      </w:pPr>
    </w:p>
    <w:p w:rsidR="000871FE" w:rsidRPr="006E0647" w:rsidRDefault="006E0647" w:rsidP="006E0647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6E0647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Na sljedećoj stranici: </w:t>
      </w:r>
      <w:r w:rsidR="000871FE" w:rsidRPr="006E0647">
        <w:rPr>
          <w:rFonts w:ascii="Times New Roman" w:eastAsia="Calibri" w:hAnsi="Times New Roman" w:cs="Times New Roman"/>
          <w:b/>
          <w:sz w:val="24"/>
          <w:szCs w:val="24"/>
          <w:lang w:val="hr-HR"/>
        </w:rPr>
        <w:t xml:space="preserve">TABLICA POLJOPRIVREDNOG ZEMLJIŠTA PO </w:t>
      </w:r>
      <w:r w:rsidRPr="006E0647">
        <w:rPr>
          <w:rFonts w:ascii="Times New Roman" w:eastAsia="Calibri" w:hAnsi="Times New Roman" w:cs="Times New Roman"/>
          <w:b/>
          <w:sz w:val="24"/>
          <w:szCs w:val="24"/>
          <w:lang w:val="hr-HR"/>
        </w:rPr>
        <w:t>POJEDINIM OBLICIMA RASPOLAGANJA:</w:t>
      </w:r>
    </w:p>
    <w:p w:rsidR="009754AF" w:rsidRPr="006E0647" w:rsidRDefault="009754AF" w:rsidP="006E0647">
      <w:pPr>
        <w:spacing w:after="200"/>
        <w:rPr>
          <w:rFonts w:ascii="Times New Roman" w:eastAsia="Calibri" w:hAnsi="Times New Roman" w:cs="Times New Roman"/>
          <w:b/>
          <w:sz w:val="24"/>
          <w:szCs w:val="24"/>
          <w:lang w:val="hr-HR"/>
        </w:rPr>
      </w:pPr>
      <w:bookmarkStart w:id="0" w:name="_GoBack"/>
      <w:bookmarkEnd w:id="0"/>
    </w:p>
    <w:sectPr w:rsidR="009754AF" w:rsidRPr="006E0647" w:rsidSect="00746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E4683B"/>
    <w:multiLevelType w:val="hybridMultilevel"/>
    <w:tmpl w:val="CC8A475C"/>
    <w:lvl w:ilvl="0" w:tplc="DFECE49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871FE"/>
    <w:rsid w:val="000871FE"/>
    <w:rsid w:val="000F5DAD"/>
    <w:rsid w:val="001A2F20"/>
    <w:rsid w:val="001B140D"/>
    <w:rsid w:val="001F0300"/>
    <w:rsid w:val="00265728"/>
    <w:rsid w:val="003164ED"/>
    <w:rsid w:val="00342029"/>
    <w:rsid w:val="003E6641"/>
    <w:rsid w:val="003F1191"/>
    <w:rsid w:val="004132E9"/>
    <w:rsid w:val="00485840"/>
    <w:rsid w:val="004E32A4"/>
    <w:rsid w:val="00620FC0"/>
    <w:rsid w:val="006719BE"/>
    <w:rsid w:val="006E0647"/>
    <w:rsid w:val="00702C67"/>
    <w:rsid w:val="00746614"/>
    <w:rsid w:val="00905F9F"/>
    <w:rsid w:val="009724D1"/>
    <w:rsid w:val="00975253"/>
    <w:rsid w:val="009754AF"/>
    <w:rsid w:val="00A924B5"/>
    <w:rsid w:val="00C05836"/>
    <w:rsid w:val="00E114F0"/>
    <w:rsid w:val="00ED710B"/>
    <w:rsid w:val="00F320A3"/>
    <w:rsid w:val="00F44198"/>
    <w:rsid w:val="00F9095C"/>
    <w:rsid w:val="00FC2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2EAF76-BF97-4C74-9216-0566606B5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1FE"/>
    <w:pPr>
      <w:spacing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871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71FE"/>
    <w:pPr>
      <w:spacing w:after="200" w:line="240" w:lineRule="auto"/>
    </w:pPr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71FE"/>
    <w:rPr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1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cp:lastPrinted>2018-05-29T13:27:00Z</cp:lastPrinted>
  <dcterms:created xsi:type="dcterms:W3CDTF">2018-05-13T17:24:00Z</dcterms:created>
  <dcterms:modified xsi:type="dcterms:W3CDTF">2018-05-29T14:07:00Z</dcterms:modified>
</cp:coreProperties>
</file>