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kupnje sjemena djeteline i DTS </w:t>
            </w:r>
          </w:p>
          <w:p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C1088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C1088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C1088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741D8">
              <w:rPr>
                <w:b/>
                <w:bCs/>
                <w:sz w:val="18"/>
                <w:szCs w:val="18"/>
              </w:rPr>
            </w:r>
            <w:r w:rsidR="004741D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4741D8">
              <w:rPr>
                <w:b/>
                <w:bCs/>
                <w:sz w:val="18"/>
                <w:szCs w:val="18"/>
              </w:rPr>
            </w:r>
            <w:r w:rsidR="004741D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251E7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251E7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8251E7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D8" w:rsidRDefault="004741D8" w:rsidP="00C87370">
      <w:r>
        <w:separator/>
      </w:r>
    </w:p>
  </w:endnote>
  <w:endnote w:type="continuationSeparator" w:id="0">
    <w:p w:rsidR="004741D8" w:rsidRDefault="004741D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D8" w:rsidRDefault="004741D8" w:rsidP="00C87370">
      <w:r>
        <w:separator/>
      </w:r>
    </w:p>
  </w:footnote>
  <w:footnote w:type="continuationSeparator" w:id="0">
    <w:p w:rsidR="004741D8" w:rsidRDefault="004741D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E7430"/>
    <w:rsid w:val="001C3C0C"/>
    <w:rsid w:val="00201468"/>
    <w:rsid w:val="002E0DF6"/>
    <w:rsid w:val="0045389E"/>
    <w:rsid w:val="004741D8"/>
    <w:rsid w:val="006D0078"/>
    <w:rsid w:val="00744FB6"/>
    <w:rsid w:val="008251E7"/>
    <w:rsid w:val="0085144E"/>
    <w:rsid w:val="00862EA4"/>
    <w:rsid w:val="00947D4C"/>
    <w:rsid w:val="009515E5"/>
    <w:rsid w:val="00984258"/>
    <w:rsid w:val="009B083A"/>
    <w:rsid w:val="00A52969"/>
    <w:rsid w:val="00A60E08"/>
    <w:rsid w:val="00AA2095"/>
    <w:rsid w:val="00AF0D55"/>
    <w:rsid w:val="00BF3C8D"/>
    <w:rsid w:val="00C1088A"/>
    <w:rsid w:val="00C87370"/>
    <w:rsid w:val="00C91556"/>
    <w:rsid w:val="00D93C53"/>
    <w:rsid w:val="00E10470"/>
    <w:rsid w:val="00E31F33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2019-02-15T07:35:00Z</dcterms:modified>
</cp:coreProperties>
</file>