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>
      <w:pPr>
        <w:pStyle w:val="Normal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  <w:t>i</w:t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color w:val="FF0000"/>
          <w:sz w:val="24"/>
          <w:szCs w:val="24"/>
        </w:rPr>
        <w:t>(Naziv, adresa i OIB Korisnika)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zastupan po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(ime i prezime osobe ovlaštene za zastupanje Korisnika) </w:t>
      </w:r>
      <w:r>
        <w:rPr>
          <w:rFonts w:cs="Times New Roman" w:ascii="Times New Roman" w:hAnsi="Times New Roman"/>
          <w:color w:val="000000"/>
          <w:sz w:val="24"/>
          <w:szCs w:val="24"/>
        </w:rPr>
        <w:t>(u daljnjem tekstu: Korisnik) sklopili su slijedeći</w:t>
      </w:r>
    </w:p>
    <w:p>
      <w:pPr>
        <w:pStyle w:val="Normal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UGOVOR</w:t>
        <w:br/>
        <w:t>o financiranju programa/projekata javnih potreba u sportu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Članak 1.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Predmet ovog Ugovora je financiranje programa/projekta Udruge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(naziv) </w:t>
      </w:r>
      <w:r>
        <w:rPr>
          <w:rFonts w:cs="Times New Roman" w:ascii="Times New Roman" w:hAnsi="Times New Roman"/>
          <w:color w:val="000000"/>
          <w:sz w:val="24"/>
          <w:szCs w:val="24"/>
        </w:rPr>
        <w:t>(u daljnjem tekstu: Program) kojeg provodi Korisnik.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Članak 2.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Općina će financirati Program Udruge iz članka 1. ovog Ugovora u iznosu od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(iznos) </w:t>
      </w:r>
      <w:r>
        <w:rPr>
          <w:rFonts w:cs="Times New Roman" w:ascii="Times New Roman" w:hAnsi="Times New Roman"/>
          <w:color w:val="000000"/>
          <w:sz w:val="24"/>
          <w:szCs w:val="24"/>
        </w:rPr>
        <w:t>(slovima:) kuna sukladno Odluci o dodjeli financijskih sredstava temeljem provedenog Javnog natječaja za dodjelu financijske potpore programima/projektima udruga u području javnih potreba u sportu za 201</w:t>
      </w:r>
      <w:r>
        <w:rPr>
          <w:rFonts w:cs="Times New Roman" w:ascii="Times New Roman" w:hAnsi="Times New Roman"/>
          <w:color w:val="000000"/>
          <w:sz w:val="24"/>
          <w:szCs w:val="24"/>
        </w:rPr>
        <w:t>9</w:t>
      </w:r>
      <w:r>
        <w:rPr>
          <w:rFonts w:cs="Times New Roman" w:ascii="Times New Roman" w:hAnsi="Times New Roman"/>
          <w:color w:val="000000"/>
          <w:sz w:val="24"/>
          <w:szCs w:val="24"/>
        </w:rPr>
        <w:t>. godinu (KLASA:, URBROJ:).</w:t>
      </w:r>
    </w:p>
    <w:p>
      <w:pPr>
        <w:pStyle w:val="Normal"/>
        <w:ind w:left="0" w:right="0" w:firstLine="709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Sredstva se mogu koristiti isključivo za provedbu Programa sukladno uvjetima Javnog natječaja i prema Obrascu opisa programa/projekta i Obrascu Proračuna. Navedena sredstva će se isplatiti s proračunske pozicije </w:t>
      </w:r>
      <w:r>
        <w:rPr>
          <w:rFonts w:cs="Times New Roman" w:ascii="Times New Roman" w:hAnsi="Times New Roman"/>
          <w:sz w:val="24"/>
          <w:szCs w:val="24"/>
          <w:u w:val="single"/>
        </w:rPr>
        <w:t>Razdjel 002, Glava 02, Program 1014, Aktivnost A 101401.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Članak 3.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Ovaj Ugovor primjenjuje se na proračunsku godinu 201</w:t>
      </w:r>
      <w:r>
        <w:rPr>
          <w:rFonts w:cs="Times New Roman" w:ascii="Times New Roman" w:hAnsi="Times New Roman"/>
          <w:color w:val="000000"/>
          <w:sz w:val="24"/>
          <w:szCs w:val="24"/>
        </w:rPr>
        <w:t>9</w:t>
      </w:r>
      <w:r>
        <w:rPr>
          <w:rFonts w:cs="Times New Roman" w:ascii="Times New Roman" w:hAnsi="Times New Roman"/>
          <w:color w:val="000000"/>
          <w:sz w:val="24"/>
          <w:szCs w:val="24"/>
        </w:rPr>
        <w:t>. godinu.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Članak 4.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Sredstva iz članka 2. ovog Ugovora namjenska su i mogu se koristiti isključivo za pokrivanje troškova i u iznosima definiranih obrascem Proračuna.</w:t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Sredstava će se isplaćivat na žiro-račun korisnika broj </w:t>
      </w:r>
      <w:r>
        <w:rPr>
          <w:rFonts w:cs="Times New Roman" w:ascii="Times New Roman" w:hAnsi="Times New Roman"/>
          <w:color w:val="FF0000"/>
          <w:sz w:val="24"/>
          <w:szCs w:val="24"/>
        </w:rPr>
        <w:t>(broj računa)</w:t>
        <w:br/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mjesečno, </w:t>
      </w:r>
      <w:r>
        <w:rPr>
          <w:rFonts w:eastAsia="Times New Roman" w:cs="Times New Roman" w:ascii="Times New Roman" w:hAnsi="Times New Roman"/>
          <w:sz w:val="24"/>
          <w:szCs w:val="24"/>
        </w:rPr>
        <w:t>u pravilu, u visini dvanaestine planiranih sredstava definiranih člankom 2. Ugovora, odnosno razmjerno ostvarenim prihodima Proračuna.</w:t>
      </w:r>
    </w:p>
    <w:p>
      <w:pPr>
        <w:pStyle w:val="Normal"/>
        <w:jc w:val="both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Udruga može, na temelju pisanog zahtjeva Jedinstvenom upravnom odjelu Općine Kloštar Ivanić, zatražiti anticipiranu isplatu sredstava za redovan rad. U tom slučaju Udruga je dužna obrazložiti zahtjev te dostaviti izvod sa žiro računa kako bi se ustanovilo financijsko stanje Udruge na dan traženja anticipacije sredstava. </w:t>
      </w:r>
    </w:p>
    <w:p>
      <w:pPr>
        <w:pStyle w:val="Normal"/>
        <w:jc w:val="both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O zahtjevu odlučuje Općinski načelnik.</w:t>
      </w:r>
    </w:p>
    <w:p>
      <w:pPr>
        <w:pStyle w:val="Normal"/>
        <w:suppressAutoHyphens w:val="true"/>
        <w:jc w:val="both"/>
        <w:textAlignment w:val="baseline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uppressAutoHyphens w:val="true"/>
        <w:jc w:val="both"/>
        <w:textAlignment w:val="baseline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uppressAutoHyphens w:val="true"/>
        <w:jc w:val="both"/>
        <w:textAlignment w:val="baseline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uppressAutoHyphens w:val="true"/>
        <w:jc w:val="both"/>
        <w:textAlignment w:val="baseline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uppressAutoHyphens w:val="true"/>
        <w:jc w:val="both"/>
        <w:textAlignment w:val="baseline"/>
        <w:rPr>
          <w:rFonts w:eastAsia="Times New Roman" w:cs="Times New Roman"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5.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Radi kontrole namjenskog korištenja sredstava Korisnik se obvezuje da će Općini dostaviti Izvještaj o provedbi Programa koji treba sadržavati: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Opisni izvještaj,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Završni izvještaj najkasnije do 20.01.20</w:t>
      </w:r>
      <w:r>
        <w:rPr>
          <w:rFonts w:cs="Times New Roman" w:ascii="Times New Roman" w:hAnsi="Times New Roman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godine na propisanim obrascima Općine. </w:t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Izvještaj se dostavlja u tiskanom obliku poštom ili osobnom dostavom u tajništvo Općine, potpisan od strane osobe ovlaštene za zastupanje Korisnika i pečatiran.</w:t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6.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Općina pridržava pravo kontinuiranog praćenja i vrednovanja izvršenja Programa Korisnika iz članka 1. Ugovora, te preispitivanje financija i troškova u bilo koje vrijeme trajanja financiranja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sz w:val="24"/>
          <w:szCs w:val="24"/>
          <w:u w:val="single"/>
        </w:rPr>
        <w:t>obveza dostave tromjesečnih financijskih izvještaja u roku od 15 dana od isteka izvještajnog razdoblja</w:t>
      </w:r>
      <w:r>
        <w:rPr>
          <w:rFonts w:cs="Times New Roman" w:ascii="Times New Roman" w:hAnsi="Times New Roman"/>
          <w:sz w:val="24"/>
          <w:szCs w:val="24"/>
        </w:rPr>
        <w:t xml:space="preserve">), </w:t>
      </w:r>
      <w:r>
        <w:rPr>
          <w:rFonts w:cs="Times New Roman" w:ascii="Times New Roman" w:hAnsi="Times New Roman"/>
          <w:color w:val="000000"/>
          <w:sz w:val="24"/>
          <w:szCs w:val="24"/>
        </w:rPr>
        <w:t>te u razdoblju od 2 godine nakon završetka Programa.</w:t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Općina može neposrednu kontrolu iz prethodnog stavka ovog Ugovora obaviti kroz terenski posjet prostorijama Korisnika, te je o namjeri izvršenja neposredne kontrole dužan prethodno obavijestiti Korisnika barem sedam dana prije planiranog izvršenja kontrole.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Članak 7.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Korisnik se obvezuje pravodobno obavijestiti Općinu o manjim i većim izmjenama Ugovora. </w:t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Manje izmjene Ugovora mogu biti:</w:t>
      </w:r>
    </w:p>
    <w:p>
      <w:pPr>
        <w:pStyle w:val="ListParagraph"/>
        <w:numPr>
          <w:ilvl w:val="0"/>
          <w:numId w:val="2"/>
        </w:numPr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promjena bankovnog računa Korisnika,</w:t>
      </w:r>
    </w:p>
    <w:p>
      <w:pPr>
        <w:pStyle w:val="ListParagraph"/>
        <w:numPr>
          <w:ilvl w:val="0"/>
          <w:numId w:val="2"/>
        </w:numPr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promjena adrese ili drugih kontakata Korisnika,</w:t>
      </w:r>
    </w:p>
    <w:p>
      <w:pPr>
        <w:pStyle w:val="ListParagraph"/>
        <w:numPr>
          <w:ilvl w:val="0"/>
          <w:numId w:val="2"/>
        </w:numPr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manje promjene Programa koje ne utječu na njegov opseg i ciljeve (npr. manje promjene u vremenskom rasporedu provedbe aktivnosti).</w:t>
      </w:r>
    </w:p>
    <w:p>
      <w:pPr>
        <w:pStyle w:val="Normal"/>
        <w:ind w:left="708" w:right="0" w:hanging="0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  <w:t>Manje izmjene ne zahtijevaju izradu Dodatka ugovoru.</w:t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8.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Udruga se obvezuje pravodobno izvijestiti Jedinstveni upravni odjel Općine Kloštar Ivanić o eventualnim objektivnim smetnjama tijekom realizacije aktivnosti koje onemogućuju ili bitno mijenjaju opseg, vrstu planiranih aktivnosti, izvršenje u ugovorenom roku ili izvršenje u planiranim stavkama proračuna. </w:t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Ukoliko Korisnik iz bilo kojeg razloga ne može ostvariti program za koji je podnio zahtjev, dužan je o tome uz pisano obrazloženje pravovremeno izvijestiti Općinu.</w:t>
      </w:r>
    </w:p>
    <w:p>
      <w:pPr>
        <w:pStyle w:val="Normal"/>
        <w:jc w:val="center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9.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Općina zadržava pravo na povrat već doznačenih sredstava u slučaju da utvrdi da su navedena novčana sredstva utrošena suprotno namjeni utvrđenoj ovim Ugovorom.</w:t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 obustavi doznake, odnosno o obvezi povrata već doznačenih novčanih sredstava, Općina će pisanim putem obavijestiti Korisnika.</w:t>
      </w:r>
    </w:p>
    <w:p>
      <w:pPr>
        <w:pStyle w:val="Normal"/>
        <w:jc w:val="center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color w:val="000000"/>
          <w:sz w:val="24"/>
          <w:szCs w:val="24"/>
        </w:rPr>
        <w:t>Članak 10.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Ugovorne strane su suglasne da će sve eventualne sporove u vezi s provedbom ovog Ugovora rješavati sporazumno ili postupkom mirenja, a ukoliko to nije moguće nadležan je Općinski sud Velikoj Gorici.</w:t>
      </w:r>
    </w:p>
    <w:p>
      <w:pPr>
        <w:pStyle w:val="Normal"/>
        <w:jc w:val="center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11.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Obrazac opisa programa/projekta i Obrazac proračuna programa/projekta koje je Korisnik dostavio prijavljujući se na Javni natječaj, sastavni su dio ovog Ugovora.</w:t>
      </w:r>
    </w:p>
    <w:p>
      <w:pPr>
        <w:pStyle w:val="Normal"/>
        <w:jc w:val="center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12.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Za sve ostale ugovorne odredbe koje dopunjuju ovaj Ugovor i odnose se na opća pravila i obveze koje se primjenjuju u provedbi Programa vrijede Opći uvjeti ugovora koji će biti objavljeni na mrežnima stranicama Općine.</w:t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13.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Ovaj Ugovor sastavljen je u četiri (4) istovjetna primjerka, od kojih jedan (1) primjerak zadržava Korisnik, a tri primjerka Općina.</w:t>
      </w:r>
    </w:p>
    <w:p>
      <w:pPr>
        <w:pStyle w:val="Normal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Članak 14.</w:t>
      </w:r>
    </w:p>
    <w:p>
      <w:pPr>
        <w:pStyle w:val="Normal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08"/>
        <w:jc w:val="both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Ugovor stupa na snagu danom potpisa posljednje ugovorne strane.</w:t>
      </w:r>
    </w:p>
    <w:p>
      <w:pPr>
        <w:pStyle w:val="Normal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5664" w:right="0" w:hanging="0"/>
        <w:jc w:val="center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5664" w:right="0" w:hanging="0"/>
        <w:jc w:val="center"/>
        <w:rPr>
          <w:rFonts w:cs="Times New Roman"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1416" w:right="0" w:hanging="1416"/>
        <w:jc w:val="center"/>
        <w:rPr>
          <w:rFonts w:cs="Times New Roman" w:ascii="Times New Roman" w:hAnsi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Za Korisnika </w:t>
        <w:tab/>
        <w:tab/>
        <w:tab/>
        <w:tab/>
        <w:tab/>
        <w:tab/>
        <w:tab/>
        <w:t>Općinski načelnik</w:t>
        <w:br/>
        <w:tab/>
        <w:tab/>
        <w:tab/>
        <w:tab/>
        <w:t xml:space="preserve">                            </w:t>
        <w:tab/>
        <w:t>Željko Filipović</w:t>
      </w:r>
    </w:p>
    <w:p>
      <w:pPr>
        <w:pStyle w:val="Normal"/>
        <w:jc w:val="center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KLASA:</w:t>
      </w:r>
    </w:p>
    <w:p>
      <w:pPr>
        <w:pStyle w:val="Normal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URBROJ:</w:t>
      </w:r>
    </w:p>
    <w:p>
      <w:pPr>
        <w:pStyle w:val="Normal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Kloštar Ivanić,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1418" w:header="0" w:top="964" w:footer="0" w:bottom="96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hr-HR" w:eastAsia="en-US" w:bidi="ar-SA"/>
      </w:rPr>
    </w:rPrDefault>
    <w:pPrDefault>
      <w:pPr/>
    </w:pPrDefault>
  </w:docDefaults>
  <w:latentStyles w:defUnhideWhenUsed="0" w:count="371" w:defQFormat="0" w:defSemiHidden="0" w:defUIPriority="99" w:defLockedState="0">
    <w:lsdException w:qFormat="1" w:uiPriority="0" w:name="Normal"/>
    <w:lsdException w:qFormat="1" w:uiPriority="9" w:name="heading 1"/>
    <w:lsdException w:qFormat="1" w:unhideWhenUsed="1" w:uiPriority="9" w:semiHidden="1" w:name="heading 2"/>
    <w:lsdException w:qFormat="1" w:unhideWhenUsed="1" w:uiPriority="9" w:semiHidden="1" w:name="heading 3"/>
    <w:lsdException w:qFormat="1" w:unhideWhenUsed="1" w:uiPriority="9" w:semiHidden="1" w:name="heading 4"/>
    <w:lsdException w:qFormat="1" w:unhideWhenUsed="1" w:uiPriority="9" w:semiHidden="1" w:name="heading 5"/>
    <w:lsdException w:qFormat="1" w:unhideWhenUsed="1" w:uiPriority="9" w:semiHidden="1" w:name="heading 6"/>
    <w:lsdException w:qFormat="1" w:unhideWhenUsed="1" w:uiPriority="9" w:semiHidden="1" w:name="heading 7"/>
    <w:lsdException w:qFormat="1" w:unhideWhenUsed="1" w:uiPriority="9" w:semiHidden="1" w:name="heading 8"/>
    <w:lsdException w:qFormat="1" w:unhideWhenUsed="1" w:uiPriority="9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uiPriority="39" w:semiHidden="1" w:name="toc 1"/>
    <w:lsdException w:unhideWhenUsed="1" w:uiPriority="39" w:semiHidden="1" w:name="toc 2"/>
    <w:lsdException w:unhideWhenUsed="1" w:uiPriority="39" w:semiHidden="1" w:name="toc 3"/>
    <w:lsdException w:unhideWhenUsed="1" w:uiPriority="39" w:semiHidden="1" w:name="toc 4"/>
    <w:lsdException w:unhideWhenUsed="1" w:uiPriority="39" w:semiHidden="1" w:name="toc 5"/>
    <w:lsdException w:unhideWhenUsed="1" w:uiPriority="39" w:semiHidden="1" w:name="toc 6"/>
    <w:lsdException w:unhideWhenUsed="1" w:uiPriority="39" w:semiHidden="1" w:name="toc 7"/>
    <w:lsdException w:unhideWhenUsed="1" w:uiPriority="39" w:semiHidden="1" w:name="toc 8"/>
    <w:lsdException w:unhideWhenUsed="1" w:uiPriority="39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uiPriority="35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uiPriority="1" w:semiHidden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libri" w:hAnsi="Calibri" w:eastAsia="Droid Sans Fallback" w:cs="Calibri"/>
      <w:color w:val="auto"/>
      <w:sz w:val="22"/>
      <w:szCs w:val="22"/>
      <w:lang w:val="hr-H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f26b9f"/>
    <w:basedOn w:val="Normal"/>
    <w:pPr>
      <w:spacing w:before="0" w:after="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2016-12-29T16:54:00Z</dcterms:created>
  <dc:creator>Cavle Liveid</dc:creator>
  <dc:language>en-US</dc:language>
  <cp:lastModifiedBy>Mateja Pokas</cp:lastModifiedBy>
  <dcterms:modified xsi:type="dcterms:W3CDTF">2016-12-30T08:12:00Z</dcterms:modified>
  <cp:revision>11</cp:revision>
</cp:coreProperties>
</file>